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1C3" w:rsidRDefault="006E1411">
      <w:r>
        <w:rPr>
          <w:rFonts w:eastAsia="Times New Roman"/>
        </w:rPr>
        <w:t>Cari colleghi,</w:t>
      </w:r>
      <w:r>
        <w:rPr>
          <w:rFonts w:eastAsia="Times New Roman"/>
        </w:rPr>
        <w:br/>
      </w:r>
      <w:r>
        <w:rPr>
          <w:rFonts w:eastAsia="Times New Roman"/>
        </w:rPr>
        <w:br/>
        <w:t xml:space="preserve">ho appreso oggi che ci vorrà probabilmente tutto il mese di luglio per avere il primo via libera in </w:t>
      </w:r>
      <w:proofErr w:type="spellStart"/>
      <w:r>
        <w:rPr>
          <w:rFonts w:eastAsia="Times New Roman"/>
        </w:rPr>
        <w:t>CdM</w:t>
      </w:r>
      <w:proofErr w:type="spellEnd"/>
      <w:r>
        <w:rPr>
          <w:rFonts w:eastAsia="Times New Roman"/>
        </w:rPr>
        <w:t xml:space="preserve"> al decreto legislativo di recepimento della DAFI.</w:t>
      </w:r>
      <w:r>
        <w:rPr>
          <w:rFonts w:eastAsia="Times New Roman"/>
        </w:rPr>
        <w:br/>
        <w:t>La chiusura del testo era prevista per il mese di giugno, in modo da consentire al Parlamento di esprimere i pareri prescritti e avere l'approvazione definitiva entro il 18 novembre.</w:t>
      </w:r>
      <w:r>
        <w:rPr>
          <w:rFonts w:eastAsia="Times New Roman"/>
        </w:rPr>
        <w:br/>
      </w:r>
      <w:r>
        <w:rPr>
          <w:rFonts w:eastAsia="Times New Roman"/>
        </w:rPr>
        <w:br/>
      </w:r>
      <w:r>
        <w:rPr>
          <w:rFonts w:eastAsia="Times New Roman"/>
        </w:rPr>
        <w:br/>
        <w:t>Ieri il provvedimento è stato al centro di una riunione tecnica di alto livello: oltre alla Presidenza del Consiglio e al ministero delle Infrastrutture e dei Trasporti, hanno partecipato i ministeri dello Sviluppo economico, dell'Ambiente, dell'Economia, dell'Interno, degli Esteri e della Giustizia, con l'aggiunta di rappresentanti dell'Agenzia delle Dogane.</w:t>
      </w:r>
      <w:r>
        <w:rPr>
          <w:rFonts w:eastAsia="Times New Roman"/>
        </w:rPr>
        <w:br/>
      </w:r>
      <w:r>
        <w:rPr>
          <w:rFonts w:eastAsia="Times New Roman"/>
        </w:rPr>
        <w:br/>
      </w:r>
      <w:r>
        <w:rPr>
          <w:rFonts w:eastAsia="Times New Roman"/>
        </w:rPr>
        <w:br/>
        <w:t>Al temine della riunione si è deciso di raccogliere osservazioni scritte sul testo entro il 15 luglio, soprattutto perché le amministrazioni finanziarie vogliono assicurarsi che le disposizioni non comportino alcun impatto sui conti pubblici.</w:t>
      </w:r>
      <w:r>
        <w:rPr>
          <w:rFonts w:eastAsia="Times New Roman"/>
        </w:rPr>
        <w:br/>
      </w:r>
      <w:r>
        <w:rPr>
          <w:rFonts w:eastAsia="Times New Roman"/>
        </w:rPr>
        <w:br/>
      </w:r>
      <w:r>
        <w:rPr>
          <w:rFonts w:eastAsia="Times New Roman"/>
        </w:rPr>
        <w:br/>
        <w:t>Vi segnalo che continua ad essere all'interno della DAFI la parte su metano e metano liquido, ora all'articolo 19, che stabilisce che le Regioni introducano l'obbligo per i nuovi punti vendita carburanti (o per quelli oggetto di ristrutturazione totale) di dotarsi di infrastrutture di rifornimento di GNC e/o GNL (con l'eccezione degli impianti in aree svantaggiate). L'obbligo viene esteso agli impianti esistenti che hanno erogato nel corso del 2015 più di 10 milioni di litri e che si trovano in una delle Province i cui capoluoghi abbiano superato il limite delle emissioni di PM10 per almeno 3 anni su 7 nel periodo 2009-2015 (Caserta, Cuneo, Lecco, Macerata, Perugia, Pesaro, Salerno). Questi impianti dovranno presentare il progetto entro il 31 dicembre 2018 e realizzarlo nei successivi 24 mesi.</w:t>
      </w:r>
      <w:r>
        <w:rPr>
          <w:rFonts w:eastAsia="Times New Roman"/>
        </w:rPr>
        <w:br/>
      </w:r>
      <w:r>
        <w:rPr>
          <w:rFonts w:eastAsia="Times New Roman"/>
        </w:rPr>
        <w:br/>
        <w:t>Un'ulteriore estensione dell'obbligo riguarda gli impianto con erogato nel 2017 superiore ai 5 milioni di litri nelle stesse province, che dovranno presentare il progetto entro il 31 dicembre 2020 e realizzarlo nei successivi 24 mesi.</w:t>
      </w:r>
      <w:r>
        <w:rPr>
          <w:rFonts w:eastAsia="Times New Roman"/>
        </w:rPr>
        <w:br/>
      </w:r>
      <w:r>
        <w:rPr>
          <w:rFonts w:eastAsia="Times New Roman"/>
        </w:rPr>
        <w:br/>
      </w:r>
      <w:r>
        <w:rPr>
          <w:rFonts w:eastAsia="Times New Roman"/>
        </w:rPr>
        <w:br/>
        <w:t xml:space="preserve">Il testo introduce la possibilità di aprire nuovi impianti di distribuzione </w:t>
      </w:r>
      <w:proofErr w:type="spellStart"/>
      <w:r>
        <w:rPr>
          <w:rFonts w:eastAsia="Times New Roman"/>
        </w:rPr>
        <w:t>monoprodotto</w:t>
      </w:r>
      <w:proofErr w:type="spellEnd"/>
      <w:r>
        <w:rPr>
          <w:rFonts w:eastAsia="Times New Roman"/>
        </w:rPr>
        <w:t xml:space="preserve"> che eroghino metano, compreso il </w:t>
      </w:r>
      <w:proofErr w:type="spellStart"/>
      <w:r>
        <w:rPr>
          <w:rFonts w:eastAsia="Times New Roman"/>
        </w:rPr>
        <w:t>biometano</w:t>
      </w:r>
      <w:proofErr w:type="spellEnd"/>
      <w:r>
        <w:rPr>
          <w:rFonts w:eastAsia="Times New Roman"/>
        </w:rPr>
        <w:t>, sia in forma compressa (GNC) sia in forma liquida (GNL).</w:t>
      </w:r>
      <w:r>
        <w:rPr>
          <w:rFonts w:eastAsia="Times New Roman"/>
        </w:rPr>
        <w:br/>
      </w:r>
      <w:r>
        <w:rPr>
          <w:rFonts w:eastAsia="Times New Roman"/>
        </w:rPr>
        <w:br/>
        <w:t>Il provvedimento stabilisce inoltre gli standard che tutti i carburanti alternativi e le relative strutture di rifornimento dovranno rispettare dal 2017.</w:t>
      </w:r>
      <w:r>
        <w:rPr>
          <w:rFonts w:eastAsia="Times New Roman"/>
        </w:rPr>
        <w:br/>
      </w:r>
      <w:r>
        <w:rPr>
          <w:rFonts w:eastAsia="Times New Roman"/>
        </w:rPr>
        <w:br/>
        <w:t>Per l'elettrico, entro il 31 dicembre 2020 dovrà essere garantito un numero adeguato di punti di ricarica per la circolazione urbana e suburbana.</w:t>
      </w:r>
      <w:r>
        <w:rPr>
          <w:rFonts w:eastAsia="Times New Roman"/>
        </w:rPr>
        <w:br/>
      </w:r>
      <w:r>
        <w:rPr>
          <w:rFonts w:eastAsia="Times New Roman"/>
        </w:rPr>
        <w:br/>
        <w:t>Per l'idrogeno il termine è il 31 dicembre 2025e il riferimento è più vago, cioè a un numero adeguato di punti di rifornimento “tenendo conto della domanda attuale e dello sviluppo a breve termine”.</w:t>
      </w:r>
      <w:r>
        <w:rPr>
          <w:rFonts w:eastAsia="Times New Roman"/>
        </w:rPr>
        <w:br/>
      </w:r>
      <w:r>
        <w:rPr>
          <w:rFonts w:eastAsia="Times New Roman"/>
        </w:rPr>
        <w:br/>
        <w:t xml:space="preserve">Quanto al </w:t>
      </w:r>
      <w:proofErr w:type="spellStart"/>
      <w:r>
        <w:rPr>
          <w:rFonts w:eastAsia="Times New Roman"/>
        </w:rPr>
        <w:t>Gnl</w:t>
      </w:r>
      <w:proofErr w:type="spellEnd"/>
      <w:r>
        <w:rPr>
          <w:rFonts w:eastAsia="Times New Roman"/>
        </w:rPr>
        <w:t xml:space="preserve"> per il trasporto navale, entro il 31 dicembre 2025 ci dovrà essere un numero adeguato di punti di rifornimento per le navi tale da consentire la navigazione nella rete centrale della </w:t>
      </w:r>
      <w:proofErr w:type="spellStart"/>
      <w:r>
        <w:rPr>
          <w:rFonts w:eastAsia="Times New Roman"/>
        </w:rPr>
        <w:t>Ten</w:t>
      </w:r>
      <w:proofErr w:type="spellEnd"/>
      <w:r>
        <w:rPr>
          <w:rFonts w:eastAsia="Times New Roman"/>
        </w:rPr>
        <w:t>-T (entro il 2030 per la navigazione in acque interne).</w:t>
      </w:r>
      <w:r>
        <w:rPr>
          <w:rFonts w:eastAsia="Times New Roman"/>
        </w:rPr>
        <w:br/>
      </w:r>
      <w:r>
        <w:rPr>
          <w:rFonts w:eastAsia="Times New Roman"/>
        </w:rPr>
        <w:br/>
      </w:r>
      <w:r>
        <w:rPr>
          <w:rFonts w:eastAsia="Times New Roman"/>
        </w:rPr>
        <w:lastRenderedPageBreak/>
        <w:t xml:space="preserve">Per il </w:t>
      </w:r>
      <w:proofErr w:type="spellStart"/>
      <w:r>
        <w:rPr>
          <w:rFonts w:eastAsia="Times New Roman"/>
        </w:rPr>
        <w:t>Gnl</w:t>
      </w:r>
      <w:proofErr w:type="spellEnd"/>
      <w:r>
        <w:rPr>
          <w:rFonts w:eastAsia="Times New Roman"/>
        </w:rPr>
        <w:t xml:space="preserve"> stradale la scadenza è il 31 dicembre 2025 per un numero adeguato di punti di rifornimento, con particolare attenzione ad autostrade e interporti. Entro 12 mesi dall'entrata in vigore del </w:t>
      </w:r>
      <w:proofErr w:type="spellStart"/>
      <w:r>
        <w:rPr>
          <w:rFonts w:eastAsia="Times New Roman"/>
        </w:rPr>
        <w:t>dlgs</w:t>
      </w:r>
      <w:proofErr w:type="spellEnd"/>
      <w:r>
        <w:rPr>
          <w:rFonts w:eastAsia="Times New Roman"/>
        </w:rPr>
        <w:t xml:space="preserve"> dovrà inoltre essere messa a punto la norma tecnica antincendio.</w:t>
      </w:r>
      <w:r>
        <w:rPr>
          <w:rFonts w:eastAsia="Times New Roman"/>
        </w:rPr>
        <w:br/>
      </w:r>
      <w:r>
        <w:rPr>
          <w:rFonts w:eastAsia="Times New Roman"/>
        </w:rPr>
        <w:br/>
        <w:t>Per il metano compresso il termine è il 31 dicembre 2020 per avere un numero adeguato di punti di rifornimento, con priorità per le città che hanno superato i limiti di concentrazione di pm10.</w:t>
      </w:r>
      <w:r>
        <w:rPr>
          <w:rFonts w:eastAsia="Times New Roman"/>
        </w:rPr>
        <w:br/>
      </w:r>
      <w:r>
        <w:rPr>
          <w:rFonts w:eastAsia="Times New Roman"/>
        </w:rPr>
        <w:br/>
        <w:t>Per il Gpl non vengono indicate né date né obiettivi, ma misure per l'uniformità della diffusione della rete.</w:t>
      </w:r>
      <w:r>
        <w:rPr>
          <w:rFonts w:eastAsia="Times New Roman"/>
        </w:rPr>
        <w:br/>
      </w:r>
      <w:r>
        <w:rPr>
          <w:rFonts w:eastAsia="Times New Roman"/>
        </w:rPr>
        <w:br/>
        <w:t>Corrado</w:t>
      </w:r>
      <w:r>
        <w:rPr>
          <w:rFonts w:eastAsia="Times New Roman"/>
        </w:rPr>
        <w:br/>
      </w:r>
      <w:r>
        <w:rPr>
          <w:rFonts w:eastAsia="Times New Roman"/>
        </w:rPr>
        <w:br/>
      </w:r>
      <w:bookmarkStart w:id="0" w:name="_GoBack"/>
      <w:bookmarkEnd w:id="0"/>
    </w:p>
    <w:sectPr w:rsidR="006471C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411"/>
    <w:rsid w:val="006471C3"/>
    <w:rsid w:val="006E14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2D9374-007F-4217-9E4A-3AA057FB3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3014</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Storchi Corrado</dc:creator>
  <cp:keywords/>
  <dc:description/>
  <cp:lastModifiedBy>Storchi Corrado</cp:lastModifiedBy>
  <cp:revision>1</cp:revision>
  <dcterms:created xsi:type="dcterms:W3CDTF">2016-12-16T12:20:00Z</dcterms:created>
  <dcterms:modified xsi:type="dcterms:W3CDTF">2016-12-16T12:20:00Z</dcterms:modified>
</cp:coreProperties>
</file>